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60"/>
        <w:jc w:val="left"/>
      </w:pPr>
      <w:bookmarkStart w:id="0" w:name="_GoBack"/>
      <w:bookmarkEnd w:id="0"/>
      <w:r>
        <w:rPr>
          <w:color w:val="000000"/>
          <w:spacing w:val="0"/>
          <w:w w:val="100"/>
          <w:position w:val="0"/>
        </w:rPr>
        <w:t>附件:</w:t>
      </w:r>
    </w:p>
    <w:tbl>
      <w:tblPr>
        <w:tblStyle w:val="2"/>
        <w:tblpPr w:leftFromText="180" w:rightFromText="180" w:vertAnchor="page" w:horzAnchor="page" w:tblpX="1962" w:tblpY="2970"/>
        <w:tblOverlap w:val="never"/>
        <w:tblW w:w="0" w:type="auto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90"/>
        <w:gridCol w:w="1577"/>
        <w:gridCol w:w="1672"/>
        <w:gridCol w:w="2648"/>
        <w:gridCol w:w="2513"/>
        <w:gridCol w:w="2407"/>
        <w:gridCol w:w="1704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序号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普法类型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普法对象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普法内容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（普及的法律法规）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 w:firstLineChars="40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880" w:firstLineChars="40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载体阵地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普法方式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0" w:firstLineChars="10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0" w:firstLineChars="10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普法时间节点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5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1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系统内普法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中心组学法、干部职工。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《习近平法治思想纲要》《宪法》《国家安全法》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《民法典》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院内微信群、微信公众号、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LED滚动屏、宣传册等。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中心组学习、党支部学习、科室政治学习等。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全年持续开展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43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2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国家安全、卫生健康等相关法律法规。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医院全体职工、相关工作人员。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《国家安全法》《基本医疗卫生与健康促进法》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《中华人民共和国医师法》《职业病防治法》《疫苗管理法》《艾滋病防治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条例》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文字材料、院内微信群、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LED滚动屏等。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学习、培训、会议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全年持续开展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9" w:hRule="exact"/>
        </w:trPr>
        <w:tc>
          <w:tcPr>
            <w:tcW w:w="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3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社会面普法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ind w:left="107"/>
              <w:jc w:val="both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青少年、社区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（农村）群众员工等社会大众</w:t>
            </w:r>
          </w:p>
        </w:tc>
        <w:tc>
          <w:tcPr>
            <w:tcW w:w="2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《基本医疗卫生与健康 促进法》《中华人民共和国医师法》《职业病防治法》《疫苗管理法》《艾滋病防治条例》《中华人民共和国残疾人保障法》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7"/>
              <w:spacing w:before="187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网站、宣传册（折页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宣传栏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LED滚动屏等。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专题培训、法治讲座等。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eastAsia="zh-CN"/>
              </w:rPr>
              <w:t>全年持续开展</w:t>
            </w:r>
          </w:p>
        </w:tc>
      </w:tr>
    </w:tbl>
    <w:p>
      <w:pPr>
        <w:rPr>
          <w:rFonts w:hint="eastAsia" w:eastAsia="宋体"/>
          <w:sz w:val="44"/>
          <w:szCs w:val="44"/>
          <w:lang w:val="en-US" w:eastAsia="zh-CN"/>
        </w:rPr>
        <w:sectPr>
          <w:footnotePr>
            <w:numFmt w:val="decimal"/>
          </w:footnotePr>
          <w:pgSz w:w="16840" w:h="11900" w:orient="landscape"/>
          <w:pgMar w:top="1349" w:right="1153" w:bottom="1349" w:left="1148" w:header="921" w:footer="921" w:gutter="0"/>
          <w:cols w:space="720" w:num="1"/>
          <w:rtlGutter w:val="0"/>
          <w:docGrid w:linePitch="360" w:charSpace="0"/>
        </w:sectPr>
      </w:pPr>
      <w:r>
        <w:rPr>
          <w:rFonts w:hint="eastAsia" w:eastAsia="宋体"/>
          <w:lang w:val="en-US" w:eastAsia="zh-CN"/>
        </w:rPr>
        <w:t xml:space="preserve">      </w:t>
      </w:r>
      <w:r>
        <w:rPr>
          <w:rFonts w:hint="eastAsia" w:eastAsia="宋体"/>
          <w:b/>
          <w:bCs/>
          <w:sz w:val="44"/>
          <w:szCs w:val="44"/>
          <w:lang w:val="en-US" w:eastAsia="zh-CN"/>
        </w:rPr>
        <w:t xml:space="preserve"> 福建省福州神经精神病防治院2022年“谁执法谁普法”责任清单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DA6C04"/>
    <w:rsid w:val="0DC15721"/>
    <w:rsid w:val="21E34DEA"/>
    <w:rsid w:val="26661674"/>
    <w:rsid w:val="29435167"/>
    <w:rsid w:val="29E77D09"/>
    <w:rsid w:val="2AAE1D16"/>
    <w:rsid w:val="4ADA6C04"/>
    <w:rsid w:val="65071ED7"/>
    <w:rsid w:val="79D3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after="600" w:line="45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680"/>
      <w:jc w:val="center"/>
      <w:outlineLvl w:val="2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07" w:lineRule="exact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414</Characters>
  <Lines>0</Lines>
  <Paragraphs>0</Paragraphs>
  <TotalTime>8</TotalTime>
  <ScaleCrop>false</ScaleCrop>
  <LinksUpToDate>false</LinksUpToDate>
  <CharactersWithSpaces>422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2021-04-09T00:55:00Z</dcterms:created>
  <dc:creator>刘俊</dc:creator>
  <cp:lastModifiedBy>刘俊</cp:lastModifiedBy>
  <dcterms:modified xsi:type="dcterms:W3CDTF">2022-12-21T06:55:34Z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AAE512EE85E341B3B8ECA6CDFFE95AD5</vt:lpwstr>
  </property>
</Properties>
</file>