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00000"/>
          <w:spacing w:val="0"/>
          <w:sz w:val="33"/>
          <w:szCs w:val="33"/>
        </w:rPr>
      </w:pPr>
      <w:r>
        <w:rPr>
          <w:rFonts w:hint="eastAsia" w:ascii="微软雅黑" w:hAnsi="微软雅黑" w:eastAsia="微软雅黑" w:cs="微软雅黑"/>
          <w:b/>
          <w:bCs/>
          <w:i w:val="0"/>
          <w:iCs w:val="0"/>
          <w:caps w:val="0"/>
          <w:color w:val="000000"/>
          <w:spacing w:val="0"/>
          <w:sz w:val="33"/>
          <w:szCs w:val="33"/>
          <w:bdr w:val="none" w:color="auto" w:sz="0" w:space="0"/>
        </w:rPr>
        <w:t>中华人民共和国传染病防治法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left"/>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spacing w:val="0"/>
          <w:kern w:val="0"/>
          <w:sz w:val="19"/>
          <w:szCs w:val="19"/>
          <w:bdr w:val="none" w:color="auto" w:sz="0" w:space="0"/>
          <w:lang w:val="en-US" w:eastAsia="zh-CN" w:bidi="ar"/>
        </w:rPr>
        <w:t> </w:t>
      </w:r>
      <w:bookmarkStart w:id="0" w:name="_GoBack"/>
      <w:r>
        <w:rPr>
          <w:rFonts w:ascii="楷体_GB2312" w:hAnsi="微软雅黑" w:eastAsia="楷体_GB2312" w:cs="楷体_GB2312"/>
          <w:i w:val="0"/>
          <w:iCs w:val="0"/>
          <w:caps w:val="0"/>
          <w:color w:val="000000" w:themeColor="text1"/>
          <w:spacing w:val="0"/>
          <w:kern w:val="0"/>
          <w:sz w:val="19"/>
          <w:szCs w:val="19"/>
          <w:bdr w:val="none" w:color="auto" w:sz="0" w:space="0"/>
          <w:lang w:val="en-US" w:eastAsia="zh-CN" w:bidi="ar"/>
          <w14:textFill>
            <w14:solidFill>
              <w14:schemeClr w14:val="tx1"/>
            </w14:solidFill>
          </w14:textFill>
        </w:rPr>
        <w:t>(1989</w:t>
      </w:r>
      <w:r>
        <w:rPr>
          <w:rFonts w:hint="default" w:ascii="楷体_GB2312" w:hAnsi="微软雅黑" w:eastAsia="楷体_GB2312" w:cs="楷体_GB2312"/>
          <w:i w:val="0"/>
          <w:iCs w:val="0"/>
          <w:caps w:val="0"/>
          <w:color w:val="000000" w:themeColor="text1"/>
          <w:spacing w:val="0"/>
          <w:kern w:val="0"/>
          <w:sz w:val="19"/>
          <w:szCs w:val="19"/>
          <w:bdr w:val="none" w:color="auto" w:sz="0" w:space="0"/>
          <w:lang w:val="en-US" w:eastAsia="zh-CN" w:bidi="ar"/>
          <w14:textFill>
            <w14:solidFill>
              <w14:schemeClr w14:val="tx1"/>
            </w14:solidFill>
          </w14:textFill>
        </w:rPr>
        <w:t>年2月21日第七届全国人民代表大会常务委员会第六次会议通过 2004年8月28日第十届全国人民代表大会常务委员会第十一次会议修订 根据2013年6月29日第十二届全国人民代表大会常务委员会第三次会议《关于修改</w:t>
      </w:r>
      <w:r>
        <w:rPr>
          <w:rFonts w:ascii="MS Mincho" w:hAnsi="MS Mincho" w:eastAsia="MS Mincho" w:cs="MS Mincho"/>
          <w:i w:val="0"/>
          <w:iCs w:val="0"/>
          <w:caps w:val="0"/>
          <w:color w:val="000000" w:themeColor="text1"/>
          <w:spacing w:val="0"/>
          <w:kern w:val="0"/>
          <w:sz w:val="19"/>
          <w:szCs w:val="19"/>
          <w:bdr w:val="none" w:color="auto" w:sz="0" w:space="0"/>
          <w:lang w:val="en-US" w:eastAsia="zh-CN" w:bidi="ar"/>
          <w14:textFill>
            <w14:solidFill>
              <w14:schemeClr w14:val="tx1"/>
            </w14:solidFill>
          </w14:textFill>
        </w:rPr>
        <w:t> </w:t>
      </w:r>
      <w:r>
        <w:rPr>
          <w:rFonts w:hint="default" w:ascii="楷体_GB2312" w:hAnsi="微软雅黑" w:eastAsia="楷体_GB2312" w:cs="楷体_GB2312"/>
          <w:i w:val="0"/>
          <w:iCs w:val="0"/>
          <w:caps w:val="0"/>
          <w:color w:val="000000" w:themeColor="text1"/>
          <w:spacing w:val="0"/>
          <w:kern w:val="0"/>
          <w:sz w:val="19"/>
          <w:szCs w:val="19"/>
          <w:bdr w:val="none" w:color="auto" w:sz="0" w:space="0"/>
          <w:lang w:val="en-US" w:eastAsia="zh-CN" w:bidi="ar"/>
          <w14:textFill>
            <w14:solidFill>
              <w14:schemeClr w14:val="tx1"/>
            </w14:solidFill>
          </w14:textFill>
        </w:rPr>
        <w:t>&lt;中华人民共和国文物保护法&gt;等十二部法律的决定》修正)</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Fonts w:hint="eastAsia" w:ascii="宋体" w:hAnsi="宋体" w:eastAsia="宋体" w:cs="宋体"/>
          <w:b/>
          <w:bCs/>
          <w:i w:val="0"/>
          <w:iCs w:val="0"/>
          <w:caps w:val="0"/>
          <w:color w:val="000000"/>
          <w:spacing w:val="0"/>
          <w:sz w:val="19"/>
          <w:szCs w:val="19"/>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第一章　总则</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第二章　传染病预防</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第三章　疫情报告、通报和公布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第四章　疫情控制</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第五章　医疗救治</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第六章　监督管理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第七章　保障措施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第八章　法律责任</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Fonts w:hint="default" w:ascii="楷体_GB2312" w:hAnsi="微软雅黑" w:eastAsia="楷体_GB2312" w:cs="楷体_GB2312"/>
          <w:i w:val="0"/>
          <w:iCs w:val="0"/>
          <w:caps w:val="0"/>
          <w:color w:val="000000"/>
          <w:spacing w:val="0"/>
          <w:sz w:val="19"/>
          <w:szCs w:val="19"/>
          <w:bdr w:val="none" w:color="auto" w:sz="0" w:space="0"/>
        </w:rPr>
        <w:t>第九章　附则</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第一章　总则</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为了预防、控制和消除传染病的发生与流行，保障人体健康和公共卫生，制定本法。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国家对传染病防治实行预防为主的方针，防治结合、分类管理、依靠科学、依靠群众。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本法规定的传染病分为甲类、乙类和丙类。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甲类传染病是指</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鼠疫、霍乱。</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乙类传染病是指</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丙类传染病是指</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流行性感冒、流行性腮腺炎、风疹、急性出血性结膜炎、麻风病、流行性和地方性斑疹伤寒、黑热病、包虫病、丝虫病，除霍乱、细菌性和阿米巴性痢疾、伤寒和副伤寒以外的感染性腹泻病。</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国务院卫生行政部门根据传染病暴发、流行情况和危害程度，可以决定增加、减少或者调整乙类、丙类传染病病种并予以公布。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需要解除依照前款规定采取的甲类传染病预防、控制措施的，由国务院卫生行政部门报经国务院批准后予以公布。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省、自治区、直辖市人民政府对本行政区域内常见、多发的其他地方性传染病，可以根据情况决定按照乙类或者丙类传染病管理并予以公布，报国务院卫生行政部门备案。</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各级人民政府领导传染病防治工作。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县级以上人民政府制定传染病防治规划并组织实施，建立健全传染病防治的疾病预防控制、医疗救治和监督管理体系。</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国务院卫生行政部门主管全国传染病防治及其监督管理工作。县级以上地方人民政府卫生行政部门负责本行政区域内的传染病防治及其监督管理工作。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县级以上人民政府其他部门在各自的职责范围内负责传染病防治工作。</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军队的传染病防治工作，依照本法和国家有关规定办理，由中国人民解放军卫生主管部门实施监督管理。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各级疾病预防控制机构承担传染病监测、预测、流行病学调查、疫情报告以及其他预防、控制工作。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医疗机构承担与医疗救治有关的传染病防治工作和责任区域内的传染病预防工作。城市社区和农村基层医疗机构在疾病预防控制机构的指导下，承担城市社区、农村基层相应的传染病防治工作。</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国家发展现代医学和中医药等传统医学，支持和鼓励开展传染病防治的科学研究，提高传染病防治的科学技术水平。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国家支持和鼓励开展传染病防治的国际合作。</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国家支持和鼓励单位和个人参与传染病防治工作。各级人民政府应当完善有关制度，方便单位和个人参与防治传染病的宣传教育、疫情报告、志愿服务和捐赠活动。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居民委员会、村民委员会应当组织居民、村民参与社区、农村的传染病预防与控制活动。</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国家开展预防传染病的健康教育。新闻媒体应当无偿开展传染病防治和公共卫生教育的公益宣传。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各级各类学校应当对学生进行健康知识和传染病预防知识的教育。</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医学院校应当加强预防医学教育和科学研究，对在校学生以及其他与传染病防治相关人员进行预防医学教育和培训，为传染病防治工作提供技术支持。</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疾病预防控制机构、医疗机构应当定期对其工作人员进行传染病防治知识、技能的培训。</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对在传染病防治工作中做出显著成绩和贡献的单位和个人，给予表彰和奖励。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对因参与传染病防治工作致病、致残、死亡的人员，按照有关规定给予补助、抚恤。</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卫生行政部门以及其他有关部门、疾病预防控制机构和医疗机构因违法实施行政管理或者预防、控制措施，侵犯单位和个人合法权益的，有关单位和个人可以依法申请行政复议或者提起诉讼。</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第二章　传染病预防</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各级人民政府组织开展群众性卫生活动，进行预防传染病的健康教育，倡导文明健康的生活方式，提高公众对传染病的防治意识和应对能力，加强环境卫生建设，消除鼠害和蚊、蝇等病媒生物的危害。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各级人民政府农业、水利、林业行政部门按照职责分工负责指导和组织消除农田、湖区、河流、牧场、林区的鼠害与血吸虫危害，以及其他传播传染病的动物和病媒生物的危害。</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铁路、交通、民用航空行政部门负责组织消除交通工具以及相关场所的鼠害和蚊、蝇等病媒生物的危害。</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地方各级人民政府应当有计划地建设和改造公共卫生设施，改善饮用水卫生条件，对污水、污物、粪便进行无害化处置。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国家对儿童实行预防接种证制度。国家免疫规划项目的预防接种实行免费。医疗机构、疾病预防控制机构与儿童的监护人应当相互配合，保证儿童及时接受预防接种。具体办法由国务院制定。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国家和社会应当关心、帮助传染病病人、病原携带者和疑似传染病病人，使其得到及时救治。任何单位和个人不得歧视传染病病人、病原携带者和疑似传染病病人。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传染病病人、病原携带者和疑似传染病病人，在治愈前或者在排除传染病嫌疑前，不得从事法律、行政法规和国务院卫生行政部门规定禁止从事的易使该传染病扩散的工作。</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国家建立传染病监测制度。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国务院卫生行政部门制定国家传染病监测规划和方案。省、自治区、直辖市人民政府卫生行政部门根据国家传染病监测规划和方案，制定本行政区域的传染病监测计划和工作方案。</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各级疾病预防控制机构对传染病的发生、流行以及影响其发生、流行的因素，进行监测；对国外发生、国内尚未发生的传染病或者国内新发生的传染病，进行监测。</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各级疾病预防控制机构在传染病预防控制中履行下列职责</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（一）实施传染病预防控制规划、计划和方案；</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（二）收集、分析和报告传染病监测信息，预测传染病的发生、流行趋势；</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（三）开展对传染病疫情和突发公共卫生事件的流行病学调查、现场处理及其效果评价；</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（四）开展传染病实验室检测、诊断、病原学鉴定；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（五）实施免疫规划，负责预防性生物制品的使用管理；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（六）开展健康教育、咨询，普及传染病防治知识；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（七）指导、培训下级疾病预防控制机构及其工作人员开展传染病监测工作；</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（八）开展传染病防治应用性研究和卫生评价，提供技术咨询。</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国家建立传染病预警制度。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国务院卫生行政部门和省、自治区、直辖市人民政府根据传染病发生、流行趋势的预测，及时发出传染病预警，根据情况予以公布。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县级以上地方人民政府应当制定传染病预防、控制预案，报上一级人民政府备案。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传染病预防、控制预案应当包括以下主要内容</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（一）传染病预防控制指挥部的组成和相关部门的职责；</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（二）传染病的监测、信息收集、分析、报告、通报制度；</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（三）疾病预防控制机构、医疗机构在发生传染病疫情时的任务与职责；</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（四）传染病暴发、流行情况的分级以及相应的应急工作方案；</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（五）传染病预防、疫点疫区现场控制，应急设施、设备、救治药品和医疗器械以及其他物资和技术的储备与调用。</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地方人民政府和疾病预防控制机构接到国务院卫生行政部门或者省、自治区、直辖市人民政府发出的传染病预警后，应当按照传染病预防、控制预案，采取相应的预防、控制措施。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医疗机构必须严格执行国务院卫生行政部门规定的管理制度、操作规范，防止传染病的医源性感染和医院感染。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应当确定专门的部门或者人员，承担传染病疫情报告、本单位的传染病预防、控制以及责任区域内的传染病预防工作；承担医疗活动中与医院感染有关的危险因素监测、安全防护、消毒、隔离和医疗废物处置工作。</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疾病预防控制机构应当指定专门人员负责对医疗机构内传染病预防工作进行指导、考核，开展流行病学调查。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采供血机构、生物制品生产单位必须严格执行国家有关规定，保证血液、血液制品的质量。禁止非法采集血液或者组织他人出卖血液。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疾病预防控制机构、医疗机构使用血液和血液制品，必须遵守国家有关规定，防止因输入血液、使用血液制品引起经血液传播疾病的发生。</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各级人民政府应当加强艾滋病的防治工作，采取预防、控制措施，防止艾滋病的传播。具体办法由国务院制定。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县级以上人民政府农业、林业行政部门以及其他有关部门，依据各自的职责负责与人畜共患传染病有关的动物传染病的防治管理工作。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与人畜共患传染病有关的野生动物、家畜家禽，经检疫合格后，方可出售、运输。</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国家建立传染病菌种、毒种库。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对传染病菌种、毒种和传染病检测样本的采集、保藏、携带、运输和使用实行分类管理，建立健全严格的管理制度。</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对可能导致甲类传染病传播的以及国务院卫生行政部门规定的菌种、毒种和传染病检测样本，确需采集、保藏、携带、运输和使用的，须经省级以上人民政府卫生行政部门批准。具体办法由国务院制定。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第二十九条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用于传染病防治的消毒产品、饮用水供水单位供应的饮用水和涉及饮用水卫生安全的产品，应当符合国家卫生标准和卫生规范。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饮用水供水单位从事生产或者供应活动，应当依法取得卫生许可证。</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生产用于传染病防治的消毒产品的单位和生产用于传染病防治的消毒产品，应当经省级以上人民政府卫生行政部门审批。具体办法由国务院制定。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第三章　疫情报告、通报和公布</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军队医疗机构向社会公众提供医疗服务，发现前款规定的传染病疫情时，应当按照国务院卫生行政部门的规定报告。</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任何单位和个人发现传染病病人或者疑似传染病病人时，应当及时向附近的疾病预防控制机构或者医疗机构报告。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疾病预防控制机构应当设立或者指定专门的部门、人员负责传染病疫情信息管理工作，及时对疫情报告进行核实、分析。</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国务院卫生行政部门应当及时向国务院其他有关部门和各省、自治区、直辖市人民政府卫生行政部门通报全国传染病疫情以及监测、预警的相关信息。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毗邻的以及相关的地方人民政府卫生行政部门，应当及时互相通报本行政区域的传染病疫情以及监测、预警的相关信息。</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县级以上人民政府有关部门发现传染病疫情时，应当及时向同级人民政府卫生行政部门通报。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中国人民解放军卫生主管部门发现传染病疫情时，应当向国务院卫生行政部门通报。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动物防疫机构和疾病预防控制机构，应当及时互相通报动物间和人间发生的人畜共患传染病疫情以及相关信息。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依照本法的规定负有传染病疫情报告职责的人民政府有关部门、疾病预防控制机构、医疗机构、采供血机构及其工作人员，不得隐瞒、谎报、缓报传染病疫情。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国家建立传染病疫情信息公布制度。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国务院卫生行政部门定期公布全国传染病疫情信息。省、自治区、直辖市人民政府卫生行政部门定期公布本行政区域的传染病疫情信息。</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传染病暴发、流行时，国务院卫生行政部门负责向社会公布传染病疫情信息，并可以授权省、自治区、直辖市人民政府卫生行政部门向社会公布本行政区域的传染病疫情信息。</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公布传染病疫情信息应当及时、准确。</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第四章　疫情控制</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第三十九条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医疗机构发现甲类传染病时，应当及时采取下列措施</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（一）对病人、病原携带者，予以隔离治疗，隔离期限根据医学检查结果确定；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（二）对疑似病人，确诊前在指定场所单独隔离治疗；</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（三）对医疗机构内的病人、病原携带者、疑似病人的密切接触者，在指定场所进行医学观察和采取其他必要的预防措施。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拒绝隔离治疗或者隔离期未满擅自脱离隔离治疗的，可以由公安机关协助医疗机构采取强制隔离治疗措施。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医疗机构发现乙类或者丙类传染病病人，应当根据病情采取必要的治疗和控制传播措施。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医疗机构对本单位内被传染病病原体污染的场所、物品以及医疗废物，必须依照法律、法规的规定实施消毒和无害化处置。</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疾病预防控制机构发现传染病疫情或者接到传染病疫情报告时，应当及时采取下列措施</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对传染病疫情进行流行病学调查，根据调查情况提出划定疫点、疫区的建议，对被污染的场所进行卫生处理，对密切接触者，在指定场所进行医学观察和采取其他必要的预防措施，并向卫生行政部门提出疫情控制方案；</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（二）传染病暴发、流行时，对疫点、疫区进行卫生处理，向卫生行政部门提出疫情控制方案，并按照卫生行政部门的要求采取措施；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（三）指导下级疾病预防控制机构实施传染病预防、控制措施，组织、指导有关单位对传染病疫情的处理。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在隔离期间，实施隔离措施的人民政府应当对被隔离人员提供生活保障；被隔离人员有工作单位的，所在单位不得停止支付其隔离期间的工作报酬。</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隔离措施的解除，由原决定机关决定并宣布。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传染病暴发、流行时，县级以上地方人民政府应当立即组织力量，按照预防、控制预案进行防治，切断传染病的传播途径，必要时，报经上一级人民政府决定，可以采取下列紧急措施并予以公告</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（一）限制或者停止集市、影剧院演出或者其他人群聚集的活动；</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（二）停工、停业、停课；</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（三）封闭或者封存被传染病病原体污染的公共饮用水源、食品以及相关物品；</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（四）控制或者扑杀染疫野生动物、家畜家禽；</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（五）封闭可能造成传染病扩散的场所。</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上级人民政府接到下级人民政府关于采取前款所列紧急措施的报告时，应当即时作出决定。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紧急措施的解除，由原决定机关决定并宣布。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省、自治区、直辖市人民政府可以决定对本行政区域内的甲类传染病疫区实施封锁；但是，封锁大、中城市的疫区或者封锁跨省、自治区、直辖市的疫区，以及封锁疫区导致中断干线交通或者封锁国境的，由国务院决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疫区封锁的解除，由原决定机关决定并宣布。</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发生甲类传染病时，为了防止该传染病通过交通工具及其乘运的人员、物资传播，可以实施交通卫生检疫。具体办法由国务院制定。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紧急调集人员的，应当按照规定给予合理报酬。临时征用房屋、交通工具以及相关设施、设备的，应当依法给予补偿；能返还的，应当及时返还。</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患甲类传染病、炭疽死亡的，应当将尸体立即进行卫生处理，就近火化。患其他传染病死亡的，必要时，应当将尸体进行卫生处理后火化或者按照规定深埋。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为了查找传染病病因，医疗机构在必要时可以按照国务院卫生行政部门的规定，对传染病病人尸体或者疑似传染病病人尸体进行解剖查验，并应当告知死者家属。</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疫区中被传染病病原体污染或者可能被传染病病原体污染的物品，经消毒可以使用的，应当在当地疾病预防控制机构的指导下，进行消毒处理后，方可使用、出售和运输。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发生传染病疫情时，疾病预防控制机构和省级以上人民政府卫生行政部门指派的其他与传染病有关的专业技术机构，可以进入传染病疫点、疫区进行调查、采集样本、技术分析和检验。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第四十九条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第五章　医疗救治</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县级以上人民政府应当加强和完善传染病医疗救治服务网络的建设，指定具备传染病救治条件和能力的医疗机构承担传染病救治任务，或者根据传染病救治需要设置传染病医院。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医疗机构的基本标准、建筑设计和服务流程，应当符合预防传染病医院感染的要求。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医疗机构应当按照规定对使用的医疗器械进行消毒；对按照规定一次使用的医疗器具，应当在使用后予以销毁。</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医疗机构应当按照国务院卫生行政部门规定的传染病诊断标准和治疗要求，采取相应措施，提高传染病医疗救治能力。</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医疗机构应当对传染病病人或者疑似传染病病人提供医疗救护、现场救援和接诊治疗，书写病历记录以及其他有关资料，并妥善保管。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第六章　监督管理</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县级以上人民政府卫生行政部门对传染病防治工作履行下列监督检查职责</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（一）对下级人民政府卫生行政部门履行本法规定的传染病防治职责进行监督检查；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（二）对疾病预防控制机构、医疗机构的传染病防治工作进行监督检查；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（三）对采供血机构的采供血活动进行监督检查；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（四）对用于传染病防治的消毒产品及其生产单位进行监督检查，并对饮用水供水单位从事生产或者供应活动以及涉及饮用水卫生安全的产品进行监督检查；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（五）对传染病菌种、毒种和传染病检测样本的采集、保藏、携带、运输、使用进行监督检查；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（六）对公共场所和有关单位的卫生条件和传染病预防、控制措施进行监督检查。</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省级以上人民政府卫生行政部门负责组织对传染病防治重大事项的处理。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县级以上人民政府卫生行政部门在履行监督检查职责时，有权进入被检查单位和传染病疫情发生现场调查取证，查阅或者复制有关的资料和采集样本。被检查单位应当予以配合，不得拒绝、阻挠。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卫生行政部门工作人员依法执行职务时，应当不少于两人，并出示执法证件，填写卫生执法文书。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卫生执法文书经核对无误后，应当由卫生执法人员和当事人签名。当事人拒绝签名的，卫生执法人员应当注明情况。</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卫生行政部门应当依法建立健全内部监督制度，对其工作人员依据法定职权和程序履行职责的情况进行监督。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上级卫生行政部门发现下级卫生行政部门不及时处理职责范围内的事项或者不履行职责的，应当责令纠正或者直接予以处理。</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第七章　保障措施</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第五十九条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国家将传染病防治工作纳入国民经济和社会发展计划，县级以上地方人民政府将传染病防治工作纳入本行政区域的国民经济和社会发展计划。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县级以上地方人民政府按照本级政府职责负责本行政区域内传染病预防、控制、监督工作的日常经费。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国务院卫生行政部门会同国务院有关部门，根据传染病流行趋势，确定全国传染病预防、控制、救治、监测、预测、预警、监督检查等项目。中央财政对困难地区实施重大传染病防治项目给予补助。</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省、自治区、直辖市人民政府根据本行政区域内传染病流行趋势，在国务院卫生行政部门确定的项目范围内，确定传染病预防、控制、监督等项目，并保障项目的实施经费。</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国家加强基层传染病防治体系建设，扶持贫困地区和少数民族地区的传染病防治工作。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地方各级人民政府应当保障城市社区、农村基层传染病预防工作的经费。</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国家对患有特定传染病的困难人群实行医疗救助，减免医疗费用。具体办法由国务院卫生行政部门会同国务院财政部门等部门制定。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县级以上人民政府负责储备防治传染病的药品、医疗器械和其他物资，以备调用。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对从事传染病预防、医疗、科研、教学、现场处理疫情的人员，以及在生产、工作中接触传染病病原体的其他人员，有关单位应当按照国家规定，采取有效的卫生防护措施和医疗保健措施，并给予适当的津贴。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第八章　法律责任</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（一）未依法履行传染病疫情通报、报告或者公布职责，或者隐瞒、谎报、缓报传染病疫情的；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（二）发生或者可能发生传染病传播时未及时采取预防、控制措施的；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（三）未依法履行监督检查职责，或者发现违法行为不及时查处的；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（四）未及时调查、处理单位和个人对下级卫生行政部门不履行传染病防治职责的举报的；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（五）违反本法的其他失职、渎职行为。</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（一）未依法履行传染病监测职责的；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（二）未依法履行传染病疫情报告、通报职责，或者隐瞒、谎报、缓报传染病疫情的；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（三）未主动收集传染病疫情信息，或者对传染病疫情信息和疫情报告未及时进行分析、调查、核实的；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（四）发现传染病疫情时，未依据职责及时采取本法规定的措施的；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（五）故意泄露传染病病人、病原携带者、疑似传染病病人、密切接触者涉及个人隐私的有关信息、资料的。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第六十九条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（一）未按照规定承担本单位的传染病预防、控制工作、医院感染控制任务和责任区域内的传染病预防工作的；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（二）未按照规定报告传染病疫情，或者隐瞒、谎报、缓报传染病疫情的；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（三）发现传染病疫情时，未按照规定对传染病病人、疑似传染病病人提供医疗救护、现场救援、接诊、转诊的，或者拒绝接受转诊的；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（四）未按照规定对本单位内被传染病病原体污染的场所、物品以及医疗废物实施消毒或者无害化处置的；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（五）未按照规定对医疗器械进行消毒，或者对按照规定一次使用的医疗器具未予销毁，再次使用的；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（六）在医疗救治过程中未按照规定保管医学记录资料的；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（七）故意泄露传染病病人、病原携带者、疑似传染病病人、密切接触者涉及个人隐私的有关信息、资料的。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非法采集血液或者组织他人出卖血液的，由县级以上人民政府卫生行政部门予以取缔，没收违法所得，可以并处十万元以下的罚款；构成犯罪的，依法追究刑事责任。</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第七十一条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第七十二条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第七十三条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（一）饮用水供水单位供应的饮用水不符合国家卫生标准和卫生规范的；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（二）涉及饮用水卫生安全的产品不符合国家卫生标准和卫生规范的；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（三）用于传染病防治的消毒产品不符合国家卫生标准和卫生规范的；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（四）出售、运输疫区中被传染病病原体污染或者可能被传染病病原体污染的物品，未进行消毒处理的；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（五）生物制品生产单位生产的血液制品不符合国家质量标准的。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第七十四条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（一）疾病预防控制机构、医疗机构和从事病原微生物实验的单位，不符合国家规定的条件和技术标准，对传染病病原体样本未按照规定进行严格管理，造成实验室感染和病原微生物扩散的；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（二）违反国家有关规定，采集、保藏、携带、运输和使用传染病菌种、毒种和传染病检测样本的；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（三）疾病预防控制机构、医疗机构未执行国家有关规定，导致因输入血液、使用血液制品引起经血液传播疾病发生的。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第七十五条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未经检疫出售、运输与人畜共患传染病有关的野生动物、家畜家禽的，由县级以上地方人民政府畜牧兽医行政部门责令停止违法行为，并依法给予行政处罚。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第七十六条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第七十七条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单位和个人违反本法规定，导致传染病传播、流行，给他人人身、财产造成损害的，应当依法承担民事责任。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19"/>
          <w:szCs w:val="19"/>
        </w:rPr>
      </w:pPr>
      <w:r>
        <w:rPr>
          <w:rStyle w:val="6"/>
          <w:rFonts w:hint="eastAsia" w:ascii="宋体" w:hAnsi="宋体" w:eastAsia="宋体" w:cs="宋体"/>
          <w:i w:val="0"/>
          <w:iCs w:val="0"/>
          <w:caps w:val="0"/>
          <w:color w:val="000000"/>
          <w:spacing w:val="0"/>
          <w:sz w:val="19"/>
          <w:szCs w:val="19"/>
          <w:bdr w:val="none" w:color="auto" w:sz="0" w:space="0"/>
        </w:rPr>
        <w:t>第九章　附则</w:t>
      </w:r>
      <w:r>
        <w:rPr>
          <w:rStyle w:val="6"/>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第七十八条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本法中下列用语的含义</w:t>
      </w:r>
      <w:r>
        <w:rPr>
          <w:rFonts w:hint="eastAsia" w:ascii="微软雅黑" w:hAnsi="微软雅黑" w:eastAsia="微软雅黑" w:cs="微软雅黑"/>
          <w:i w:val="0"/>
          <w:iCs w:val="0"/>
          <w:caps w:val="0"/>
          <w:color w:val="000000"/>
          <w:spacing w:val="0"/>
          <w:sz w:val="19"/>
          <w:szCs w:val="19"/>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（一）传染病病人、疑似传染病病人</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指根据国务院卫生行政部门发布的《中华人民共和国传染病防治法规定管理的传染病诊断标准》，符合传染病病人和疑似传染病病人诊断标准的人。</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（二）病原携带者</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指感染病原体无临床症状但能排出病原体的人。</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（三）流行病学调查</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指对人群中疾病或者健康状况的分布及其决定因素进行调查研究，提出疾病预防控制措施及保健对策。</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（四）疫点</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指病原体从传染源向周围播散的范围较小或者单个疫源地。</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（五）疫区</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指传染病在人群中暴发、流行，其病原体向周围播散时所能波及的地区。</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（六）人畜共患传染病</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指人与脊椎动物共同罹患的传染病，如鼠疫、狂犬病、血吸虫病等。</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（七）自然疫源地</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指某些可引起人类传染病的病原体在自然界的野生动物中长期存在和循环的地区。</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（八）病媒生物</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指能够将病原体从人或者其他动物传播给人的生物，如蚊、蝇、蚤类等。</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（九）医源性感染</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指在医学服务中，因病原体传播引起的感染。</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（十）医院感染</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指住院病人在医院内获得的感染，包括在住院期间发生的感染和在医院内获得出院后发生的感染，但不包括入院前已开始或者入院时已处于潜伏期的感染。医院工作人员在医院内获得的感染也属医院感染。</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（十一）实验室感染</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指从事实验室工作时，因接触病原体所致的感染。</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（十二）菌种、毒种</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指可能引起本法规定的传染病发生的细菌菌种、病毒毒种。</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（十三）消毒</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指用化学、物理、生物的方法杀灭或者消除环境中的病原微生物。</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（十四）疾病预防控制机构</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指从事疾病预防控制活动的疾病预防控制中心以及与上述机构业务活动相同的单位。</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32" w:lineRule="atLeast"/>
        <w:ind w:left="0" w:right="0"/>
        <w:rPr>
          <w:sz w:val="19"/>
          <w:szCs w:val="19"/>
        </w:rPr>
      </w:pPr>
      <w:r>
        <w:rPr>
          <w:rFonts w:hint="eastAsia" w:ascii="微软雅黑" w:hAnsi="微软雅黑" w:eastAsia="微软雅黑" w:cs="微软雅黑"/>
          <w:i w:val="0"/>
          <w:iCs w:val="0"/>
          <w:caps w:val="0"/>
          <w:color w:val="000000"/>
          <w:spacing w:val="0"/>
          <w:sz w:val="19"/>
          <w:szCs w:val="19"/>
          <w:bdr w:val="none" w:color="auto" w:sz="0" w:space="0"/>
        </w:rPr>
        <w:t>（十五）医疗机构</w:t>
      </w:r>
      <w:r>
        <w:rPr>
          <w:rFonts w:hint="eastAsia" w:ascii="微软雅黑" w:hAnsi="微软雅黑" w:eastAsia="微软雅黑" w:cs="微软雅黑"/>
          <w:i w:val="0"/>
          <w:iCs w:val="0"/>
          <w:caps w:val="0"/>
          <w:color w:val="000000"/>
          <w:spacing w:val="0"/>
          <w:sz w:val="19"/>
          <w:szCs w:val="19"/>
          <w:bdr w:val="none" w:color="auto" w:sz="0" w:space="0"/>
          <w:lang w:val="en-US"/>
        </w:rPr>
        <w:t>:</w:t>
      </w:r>
      <w:r>
        <w:rPr>
          <w:rFonts w:hint="eastAsia" w:ascii="微软雅黑" w:hAnsi="微软雅黑" w:eastAsia="微软雅黑" w:cs="微软雅黑"/>
          <w:i w:val="0"/>
          <w:iCs w:val="0"/>
          <w:caps w:val="0"/>
          <w:color w:val="000000"/>
          <w:spacing w:val="0"/>
          <w:sz w:val="19"/>
          <w:szCs w:val="19"/>
          <w:bdr w:val="none" w:color="auto" w:sz="0" w:space="0"/>
        </w:rPr>
        <w:t>指按照《医疗机构管理条例》取得医疗机构执业许可证，从事疾病诊断、治疗活动的机构。</w:t>
      </w:r>
      <w:r>
        <w:rPr>
          <w:rFonts w:hint="eastAsia" w:ascii="MS Mincho" w:hAnsi="MS Mincho" w:eastAsia="MS Mincho" w:cs="MS Mincho"/>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第七十九条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传染病防治中有关食品、药品、血液、水、医疗废物和病原微生物的管理以及动物防疫和国境卫生检疫，本法未规定的，分别适用其他有关法律、行政法规的规定。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sz w:val="19"/>
          <w:szCs w:val="19"/>
        </w:rPr>
      </w:pPr>
      <w:r>
        <w:rPr>
          <w:rStyle w:val="6"/>
          <w:rFonts w:hint="eastAsia" w:ascii="宋体" w:hAnsi="宋体" w:eastAsia="宋体" w:cs="宋体"/>
          <w:i w:val="0"/>
          <w:iCs w:val="0"/>
          <w:caps w:val="0"/>
          <w:color w:val="000000"/>
          <w:spacing w:val="0"/>
          <w:sz w:val="19"/>
          <w:szCs w:val="19"/>
          <w:bdr w:val="none" w:color="auto" w:sz="0" w:space="0"/>
        </w:rPr>
        <w:t>第八十条　</w:t>
      </w:r>
      <w:r>
        <w:rPr>
          <w:rStyle w:val="6"/>
          <w:rFonts w:hint="eastAsia" w:ascii="MS Mincho" w:hAnsi="MS Mincho" w:eastAsia="MS Mincho" w:cs="MS Mincho"/>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19"/>
          <w:szCs w:val="19"/>
          <w:bdr w:val="none" w:color="auto" w:sz="0" w:space="0"/>
        </w:rPr>
        <w:t>本法自</w:t>
      </w:r>
      <w:r>
        <w:rPr>
          <w:rFonts w:hint="eastAsia" w:ascii="微软雅黑" w:hAnsi="微软雅黑" w:eastAsia="微软雅黑" w:cs="微软雅黑"/>
          <w:i w:val="0"/>
          <w:iCs w:val="0"/>
          <w:caps w:val="0"/>
          <w:color w:val="000000"/>
          <w:spacing w:val="0"/>
          <w:sz w:val="19"/>
          <w:szCs w:val="19"/>
          <w:bdr w:val="none" w:color="auto" w:sz="0" w:space="0"/>
          <w:lang w:val="en-US"/>
        </w:rPr>
        <w:t>2004</w:t>
      </w:r>
      <w:r>
        <w:rPr>
          <w:rFonts w:hint="eastAsia" w:ascii="微软雅黑" w:hAnsi="微软雅黑" w:eastAsia="微软雅黑" w:cs="微软雅黑"/>
          <w:i w:val="0"/>
          <w:iCs w:val="0"/>
          <w:caps w:val="0"/>
          <w:color w:val="000000"/>
          <w:spacing w:val="0"/>
          <w:sz w:val="19"/>
          <w:szCs w:val="19"/>
          <w:bdr w:val="none" w:color="auto" w:sz="0" w:space="0"/>
        </w:rPr>
        <w:t>年</w:t>
      </w:r>
      <w:r>
        <w:rPr>
          <w:rFonts w:hint="eastAsia" w:ascii="微软雅黑" w:hAnsi="微软雅黑" w:eastAsia="微软雅黑" w:cs="微软雅黑"/>
          <w:i w:val="0"/>
          <w:iCs w:val="0"/>
          <w:caps w:val="0"/>
          <w:color w:val="000000"/>
          <w:spacing w:val="0"/>
          <w:sz w:val="19"/>
          <w:szCs w:val="19"/>
          <w:bdr w:val="none" w:color="auto" w:sz="0" w:space="0"/>
          <w:lang w:val="en-US"/>
        </w:rPr>
        <w:t>12</w:t>
      </w:r>
      <w:r>
        <w:rPr>
          <w:rFonts w:hint="eastAsia" w:ascii="微软雅黑" w:hAnsi="微软雅黑" w:eastAsia="微软雅黑" w:cs="微软雅黑"/>
          <w:i w:val="0"/>
          <w:iCs w:val="0"/>
          <w:caps w:val="0"/>
          <w:color w:val="000000"/>
          <w:spacing w:val="0"/>
          <w:sz w:val="19"/>
          <w:szCs w:val="19"/>
          <w:bdr w:val="none" w:color="auto" w:sz="0" w:space="0"/>
        </w:rPr>
        <w:t>月</w:t>
      </w:r>
      <w:r>
        <w:rPr>
          <w:rFonts w:hint="eastAsia" w:ascii="微软雅黑" w:hAnsi="微软雅黑" w:eastAsia="微软雅黑" w:cs="微软雅黑"/>
          <w:i w:val="0"/>
          <w:iCs w:val="0"/>
          <w:caps w:val="0"/>
          <w:color w:val="000000"/>
          <w:spacing w:val="0"/>
          <w:sz w:val="19"/>
          <w:szCs w:val="19"/>
          <w:bdr w:val="none" w:color="auto" w:sz="0" w:space="0"/>
          <w:lang w:val="en-US"/>
        </w:rPr>
        <w:t>1</w:t>
      </w:r>
      <w:r>
        <w:rPr>
          <w:rFonts w:hint="eastAsia" w:ascii="微软雅黑" w:hAnsi="微软雅黑" w:eastAsia="微软雅黑" w:cs="微软雅黑"/>
          <w:i w:val="0"/>
          <w:iCs w:val="0"/>
          <w:caps w:val="0"/>
          <w:color w:val="000000"/>
          <w:spacing w:val="0"/>
          <w:sz w:val="19"/>
          <w:szCs w:val="19"/>
          <w:bdr w:val="none" w:color="auto" w:sz="0" w:space="0"/>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7038B"/>
    <w:rsid w:val="7F47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2021-12-02T00:31:00Z</dcterms:created>
  <dc:creator>刘俊</dc:creator>
  <cp:lastModifiedBy>刘俊</cp:lastModifiedBy>
  <dcterms:modified xsi:type="dcterms:W3CDTF">2021-12-02T00:31:39Z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B839D673727242EABAED4E45810868F3</vt:lpwstr>
  </property>
</Properties>
</file>